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C7" w:rsidRDefault="009B4BC7" w:rsidP="00627E1B">
      <w:pPr>
        <w:pStyle w:val="Heading1"/>
      </w:pPr>
      <w:r>
        <w:t>Community Assessment for Accessible Rural Events</w:t>
      </w:r>
    </w:p>
    <w:p w:rsidR="009B4BC7" w:rsidRDefault="009B4BC7" w:rsidP="00627E1B">
      <w:pPr>
        <w:pStyle w:val="Heading1"/>
      </w:pPr>
      <w:r>
        <w:t>Event Accessibility Quick Assessment</w:t>
      </w:r>
    </w:p>
    <w:p w:rsidR="009B4BC7" w:rsidRDefault="009B4BC7" w:rsidP="009B4BC7">
      <w:r>
        <w:t>For indoor and</w:t>
      </w:r>
      <w:r w:rsidR="00627E1B">
        <w:t xml:space="preserve"> </w:t>
      </w:r>
      <w:r>
        <w:t>outdoor events</w:t>
      </w:r>
    </w:p>
    <w:p w:rsidR="00627E1B" w:rsidRDefault="00627E1B" w:rsidP="00627E1B">
      <w:pPr>
        <w:pStyle w:val="Heading2"/>
      </w:pPr>
      <w:r>
        <w:t>Planning and Promotion</w:t>
      </w:r>
    </w:p>
    <w:p w:rsidR="009B4BC7" w:rsidRDefault="009B4BC7" w:rsidP="00627E1B">
      <w:pPr>
        <w:pStyle w:val="ListParagraph"/>
        <w:numPr>
          <w:ilvl w:val="0"/>
          <w:numId w:val="2"/>
        </w:numPr>
      </w:pPr>
      <w:r>
        <w:t>People with disabilities</w:t>
      </w:r>
      <w:r w:rsidR="00627E1B">
        <w:t xml:space="preserve"> </w:t>
      </w:r>
      <w:r>
        <w:t>involved in event planning.</w:t>
      </w:r>
    </w:p>
    <w:p w:rsidR="009B4BC7" w:rsidRDefault="009B4BC7" w:rsidP="00627E1B">
      <w:pPr>
        <w:pStyle w:val="ListParagraph"/>
        <w:numPr>
          <w:ilvl w:val="1"/>
          <w:numId w:val="1"/>
        </w:numPr>
      </w:pPr>
      <w:r>
        <w:t>Yes</w:t>
      </w:r>
    </w:p>
    <w:p w:rsidR="009B4BC7" w:rsidRDefault="009B4BC7" w:rsidP="00627E1B">
      <w:pPr>
        <w:pStyle w:val="ListParagraph"/>
        <w:numPr>
          <w:ilvl w:val="1"/>
          <w:numId w:val="1"/>
        </w:numPr>
      </w:pPr>
      <w:r>
        <w:t>No</w:t>
      </w:r>
    </w:p>
    <w:p w:rsidR="009B4BC7" w:rsidRDefault="009B4BC7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ListParagraph"/>
        <w:numPr>
          <w:ilvl w:val="0"/>
          <w:numId w:val="2"/>
        </w:numPr>
      </w:pPr>
      <w:r>
        <w:t>All promotion and event</w:t>
      </w:r>
      <w:r w:rsidR="00627E1B">
        <w:t xml:space="preserve"> </w:t>
      </w:r>
      <w:r>
        <w:t>programs and materials in</w:t>
      </w:r>
      <w:r w:rsidR="00627E1B">
        <w:t xml:space="preserve"> </w:t>
      </w:r>
      <w:r>
        <w:t>accessible formats (large</w:t>
      </w:r>
      <w:r w:rsidR="00627E1B">
        <w:t xml:space="preserve"> </w:t>
      </w:r>
      <w:r>
        <w:t>print, text-only, captioning,</w:t>
      </w:r>
      <w:r w:rsidR="00627E1B">
        <w:t xml:space="preserve"> </w:t>
      </w:r>
      <w:r>
        <w:t>interpreters, etc.).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ListParagraph"/>
        <w:numPr>
          <w:ilvl w:val="0"/>
          <w:numId w:val="2"/>
        </w:numPr>
      </w:pPr>
      <w:r>
        <w:t>Promotional materials</w:t>
      </w:r>
      <w:r w:rsidR="00627E1B">
        <w:t xml:space="preserve"> </w:t>
      </w:r>
      <w:r>
        <w:t>advertise accessibility</w:t>
      </w:r>
      <w:r w:rsidR="00627E1B">
        <w:t xml:space="preserve"> </w:t>
      </w:r>
      <w:r>
        <w:t>features of event.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ListParagraph"/>
        <w:numPr>
          <w:ilvl w:val="0"/>
          <w:numId w:val="2"/>
        </w:numPr>
      </w:pPr>
      <w:r>
        <w:t>Staff and volunteers have</w:t>
      </w:r>
      <w:r w:rsidR="00627E1B">
        <w:t xml:space="preserve"> </w:t>
      </w:r>
      <w:r>
        <w:t>basic awareness training on</w:t>
      </w:r>
      <w:r w:rsidR="00627E1B">
        <w:t xml:space="preserve"> </w:t>
      </w:r>
      <w:r>
        <w:t>how to assist people with</w:t>
      </w:r>
      <w:r w:rsidR="00627E1B">
        <w:t xml:space="preserve"> </w:t>
      </w:r>
      <w:r>
        <w:t>disabilities during event and</w:t>
      </w:r>
      <w:r w:rsidR="00627E1B">
        <w:t xml:space="preserve"> </w:t>
      </w:r>
      <w:r>
        <w:t>in emergencies.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627E1B"/>
    <w:p w:rsidR="00627E1B" w:rsidRDefault="00627E1B" w:rsidP="00627E1B"/>
    <w:p w:rsidR="009B4BC7" w:rsidRDefault="009B4BC7" w:rsidP="00627E1B">
      <w:pPr>
        <w:pStyle w:val="Heading2"/>
      </w:pPr>
      <w:r>
        <w:lastRenderedPageBreak/>
        <w:t>Parking</w:t>
      </w:r>
    </w:p>
    <w:p w:rsidR="009B4BC7" w:rsidRDefault="009B4BC7" w:rsidP="00627E1B">
      <w:pPr>
        <w:pStyle w:val="ListParagraph"/>
        <w:numPr>
          <w:ilvl w:val="0"/>
          <w:numId w:val="2"/>
        </w:numPr>
      </w:pPr>
      <w:r>
        <w:t>Enough accessible parking,</w:t>
      </w:r>
      <w:r w:rsidR="00627E1B">
        <w:t xml:space="preserve"> </w:t>
      </w:r>
      <w:r>
        <w:t>and it is clearly marked.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Heading2"/>
      </w:pPr>
      <w:r>
        <w:t>Entrances and Doorways</w:t>
      </w:r>
    </w:p>
    <w:p w:rsidR="009B4BC7" w:rsidRDefault="009B4BC7" w:rsidP="00627E1B">
      <w:pPr>
        <w:pStyle w:val="ListParagraph"/>
        <w:numPr>
          <w:ilvl w:val="0"/>
          <w:numId w:val="2"/>
        </w:numPr>
      </w:pPr>
      <w:r>
        <w:t>Clearly marked accessible entrances.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9B4BC7">
      <w:pPr>
        <w:pStyle w:val="ListParagraph"/>
        <w:numPr>
          <w:ilvl w:val="0"/>
          <w:numId w:val="2"/>
        </w:numPr>
      </w:pPr>
      <w:r>
        <w:t>Doorways/entrances wide enough for walkers, wheelchairs, and other mobility equipment.</w:t>
      </w:r>
      <w:r w:rsidR="00627E1B">
        <w:t xml:space="preserve"> </w:t>
      </w:r>
      <w:r>
        <w:t>No revolving doors.</w:t>
      </w:r>
      <w:r w:rsidR="00627E1B">
        <w:t xml:space="preserve"> </w:t>
      </w:r>
      <w:r>
        <w:t>Nothing blocking entrances or doors.</w:t>
      </w:r>
    </w:p>
    <w:p w:rsidR="00627E1B" w:rsidRDefault="00627E1B" w:rsidP="00627E1B">
      <w:pPr>
        <w:pStyle w:val="ListParagraph"/>
        <w:numPr>
          <w:ilvl w:val="1"/>
          <w:numId w:val="4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4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4"/>
        </w:numPr>
      </w:pPr>
      <w:r>
        <w:t>N/A</w:t>
      </w:r>
    </w:p>
    <w:p w:rsidR="009B4BC7" w:rsidRDefault="00627E1B" w:rsidP="009B4BC7">
      <w:pPr>
        <w:pStyle w:val="ListParagraph"/>
        <w:numPr>
          <w:ilvl w:val="1"/>
          <w:numId w:val="4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ListParagraph"/>
        <w:numPr>
          <w:ilvl w:val="0"/>
          <w:numId w:val="2"/>
        </w:numPr>
      </w:pPr>
      <w:r>
        <w:t>Door handles are levers or u-shaped.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Heading2"/>
      </w:pPr>
      <w:r>
        <w:t>Pathways</w:t>
      </w:r>
    </w:p>
    <w:p w:rsidR="009B4BC7" w:rsidRDefault="009B4BC7" w:rsidP="00627E1B">
      <w:pPr>
        <w:pStyle w:val="ListParagraph"/>
        <w:numPr>
          <w:ilvl w:val="0"/>
          <w:numId w:val="2"/>
        </w:numPr>
      </w:pPr>
      <w:r>
        <w:t>Ramps at all steps and over uneven surfaces.</w:t>
      </w:r>
      <w:r w:rsidR="00627E1B">
        <w:t xml:space="preserve"> </w:t>
      </w:r>
      <w:r>
        <w:t>Handrails on all stairs.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ListParagraph"/>
        <w:numPr>
          <w:ilvl w:val="0"/>
          <w:numId w:val="2"/>
        </w:numPr>
      </w:pPr>
      <w:r>
        <w:t>Pathways to all services and activities flat and unblocked.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Heading2"/>
      </w:pPr>
      <w:r>
        <w:t>Bathrooms</w:t>
      </w:r>
    </w:p>
    <w:p w:rsidR="009B4BC7" w:rsidRDefault="009B4BC7" w:rsidP="00627E1B">
      <w:pPr>
        <w:pStyle w:val="ListParagraph"/>
        <w:numPr>
          <w:ilvl w:val="0"/>
          <w:numId w:val="2"/>
        </w:numPr>
      </w:pPr>
      <w:r>
        <w:t>Enough clearly marked accessible bathrooms on-site and near all event activities. Path to bathroom unblocked and wheelchair accessible.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627E1B"/>
    <w:p w:rsidR="00627E1B" w:rsidRDefault="00627E1B" w:rsidP="00627E1B"/>
    <w:p w:rsidR="009B4BC7" w:rsidRDefault="009B4BC7" w:rsidP="00627E1B">
      <w:pPr>
        <w:pStyle w:val="ListParagraph"/>
        <w:numPr>
          <w:ilvl w:val="0"/>
          <w:numId w:val="2"/>
        </w:numPr>
      </w:pPr>
      <w:r>
        <w:t>Accessible toileting and feeding/watering areas for service animals.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Heading2"/>
      </w:pPr>
      <w:r>
        <w:t>Event Space</w:t>
      </w:r>
    </w:p>
    <w:p w:rsidR="009B4BC7" w:rsidRDefault="009B4BC7" w:rsidP="00627E1B">
      <w:pPr>
        <w:pStyle w:val="ListParagraph"/>
        <w:numPr>
          <w:ilvl w:val="0"/>
          <w:numId w:val="2"/>
        </w:numPr>
      </w:pPr>
      <w:r>
        <w:t>Clearly identified roving event staff present to assist with accessibility issues during the event.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9B4BC7" w:rsidRDefault="00924200" w:rsidP="009B4BC7">
      <w:r>
        <w:br/>
      </w:r>
      <w:r>
        <w:br/>
      </w:r>
      <w:r>
        <w:br/>
      </w:r>
    </w:p>
    <w:p w:rsidR="00627E1B" w:rsidRDefault="00627E1B" w:rsidP="009B4BC7"/>
    <w:p w:rsidR="009B4BC7" w:rsidRDefault="009B4BC7" w:rsidP="00627E1B">
      <w:pPr>
        <w:pStyle w:val="ListParagraph"/>
        <w:numPr>
          <w:ilvl w:val="0"/>
          <w:numId w:val="2"/>
        </w:numPr>
      </w:pPr>
      <w:r>
        <w:lastRenderedPageBreak/>
        <w:t>Any events with sound effects, flashing lights or strobes, smoke machines, etc. clearly marked.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ListParagraph"/>
        <w:numPr>
          <w:ilvl w:val="0"/>
          <w:numId w:val="2"/>
        </w:numPr>
      </w:pPr>
      <w:r>
        <w:t>Areas are well lit and have adjustable lighting.</w:t>
      </w:r>
      <w:r w:rsidR="00627E1B">
        <w:t xml:space="preserve"> </w:t>
      </w:r>
      <w:r>
        <w:t>Sound system is adjustable.</w:t>
      </w:r>
      <w:r w:rsidR="00627E1B">
        <w:t xml:space="preserve"> </w:t>
      </w:r>
      <w:r>
        <w:t>Microphones are available to the audience during Q &amp; A sessions.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627E1B" w:rsidRDefault="00627E1B" w:rsidP="009B4BC7"/>
    <w:p w:rsidR="00627E1B" w:rsidRDefault="00627E1B" w:rsidP="009B4BC7"/>
    <w:p w:rsidR="009B4BC7" w:rsidRDefault="009B4BC7" w:rsidP="00627E1B">
      <w:pPr>
        <w:pStyle w:val="ListParagraph"/>
        <w:numPr>
          <w:ilvl w:val="0"/>
          <w:numId w:val="2"/>
        </w:numPr>
      </w:pPr>
      <w:r>
        <w:t>Accessible seating set up in a way that is inclusive. Front row seating reserved for people with vision and hearing impairments.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8E51C0" w:rsidRDefault="008E51C0" w:rsidP="009B4BC7"/>
    <w:p w:rsidR="008E51C0" w:rsidRDefault="008E51C0" w:rsidP="009B4BC7"/>
    <w:p w:rsidR="009B4BC7" w:rsidRDefault="009B4BC7" w:rsidP="008E51C0">
      <w:pPr>
        <w:pStyle w:val="ListParagraph"/>
        <w:numPr>
          <w:ilvl w:val="0"/>
          <w:numId w:val="2"/>
        </w:numPr>
      </w:pPr>
      <w:r>
        <w:t xml:space="preserve">Designated area for people experiencing sensory overload to </w:t>
      </w:r>
      <w:proofErr w:type="spellStart"/>
      <w:r>
        <w:t>rest</w:t>
      </w:r>
      <w:proofErr w:type="spellEnd"/>
      <w:r>
        <w:t xml:space="preserve"> away from noise, lights, and other commotion. Area is fragrance-free.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8E51C0" w:rsidRDefault="008E51C0" w:rsidP="009B4BC7"/>
    <w:p w:rsidR="008E51C0" w:rsidRDefault="008E51C0" w:rsidP="009B4BC7"/>
    <w:p w:rsidR="009B4BC7" w:rsidRDefault="009B4BC7" w:rsidP="008E51C0">
      <w:pPr>
        <w:pStyle w:val="ListParagraph"/>
        <w:numPr>
          <w:ilvl w:val="0"/>
          <w:numId w:val="2"/>
        </w:numPr>
      </w:pPr>
      <w:r>
        <w:t>Tables are at usable height and have enough space for people in wheelchairs and power chairs.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8E51C0" w:rsidRDefault="008E51C0" w:rsidP="009B4BC7"/>
    <w:p w:rsidR="008E51C0" w:rsidRDefault="008E51C0" w:rsidP="009B4BC7"/>
    <w:p w:rsidR="009B4BC7" w:rsidRDefault="009B4BC7" w:rsidP="008E51C0">
      <w:pPr>
        <w:pStyle w:val="Heading2"/>
      </w:pPr>
      <w:r>
        <w:t>Food</w:t>
      </w:r>
    </w:p>
    <w:p w:rsidR="009B4BC7" w:rsidRDefault="009B4BC7" w:rsidP="008E51C0">
      <w:pPr>
        <w:pStyle w:val="ListParagraph"/>
        <w:numPr>
          <w:ilvl w:val="0"/>
          <w:numId w:val="2"/>
        </w:numPr>
      </w:pPr>
      <w:r>
        <w:t>Food sensitivities and allergies addressed. Alternative options available and clearly labeled.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Yes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No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>N/A</w:t>
      </w:r>
    </w:p>
    <w:p w:rsidR="00627E1B" w:rsidRDefault="00627E1B" w:rsidP="00627E1B">
      <w:pPr>
        <w:pStyle w:val="ListParagraph"/>
        <w:numPr>
          <w:ilvl w:val="1"/>
          <w:numId w:val="1"/>
        </w:numPr>
      </w:pPr>
      <w:r>
        <w:t xml:space="preserve">Steps to take: </w:t>
      </w:r>
    </w:p>
    <w:p w:rsidR="008E51C0" w:rsidRDefault="008E51C0" w:rsidP="009B4BC7"/>
    <w:p w:rsidR="008E51C0" w:rsidRDefault="008E51C0" w:rsidP="009B4BC7"/>
    <w:p w:rsidR="00EC769E" w:rsidRDefault="00EC769E" w:rsidP="009B4BC7"/>
    <w:p w:rsidR="00924200" w:rsidRDefault="00924200" w:rsidP="009B4BC7">
      <w:bookmarkStart w:id="0" w:name="_GoBack"/>
      <w:bookmarkEnd w:id="0"/>
    </w:p>
    <w:p w:rsidR="00EC769E" w:rsidRDefault="00EC769E" w:rsidP="009B4BC7"/>
    <w:p w:rsidR="00924200" w:rsidRDefault="00924200" w:rsidP="009B4BC7"/>
    <w:p w:rsidR="009B4BC7" w:rsidRDefault="009B4BC7" w:rsidP="009B4BC7">
      <w:r>
        <w:t>For more information and resources on event</w:t>
      </w:r>
      <w:r w:rsidR="008E51C0">
        <w:t xml:space="preserve"> </w:t>
      </w:r>
      <w:r>
        <w:t>accessibility, check out the</w:t>
      </w:r>
      <w:r w:rsidR="008E51C0">
        <w:t xml:space="preserve"> </w:t>
      </w:r>
      <w:r>
        <w:t>Community Assessment for Accessible Rural</w:t>
      </w:r>
      <w:r w:rsidR="008E51C0">
        <w:t xml:space="preserve"> </w:t>
      </w:r>
      <w:r>
        <w:t>Events (CAARE) Toolkit.</w:t>
      </w:r>
    </w:p>
    <w:p w:rsidR="00924200" w:rsidRDefault="009B4BC7" w:rsidP="009B4BC7">
      <w:r>
        <w:t>Find it online by visiting</w:t>
      </w:r>
      <w:r w:rsidR="009709CE">
        <w:t xml:space="preserve"> </w:t>
      </w:r>
      <w:hyperlink r:id="rId7" w:history="1">
        <w:r w:rsidR="00924200" w:rsidRPr="00314F18">
          <w:rPr>
            <w:rStyle w:val="Hyperlink"/>
          </w:rPr>
          <w:t>www.rtc.ruralinstitute.umt.edu/community-assessment-for-accessible-rural-events</w:t>
        </w:r>
      </w:hyperlink>
    </w:p>
    <w:p w:rsidR="00924200" w:rsidRDefault="00924200" w:rsidP="009B4BC7"/>
    <w:p w:rsidR="009B4BC7" w:rsidRDefault="009B4BC7" w:rsidP="009B4BC7">
      <w:r>
        <w:t>Accessibility items in this quick assessment have been adapted</w:t>
      </w:r>
      <w:r w:rsidR="00FA2C1A">
        <w:t xml:space="preserve"> </w:t>
      </w:r>
      <w:r>
        <w:t>from the following resources:</w:t>
      </w:r>
    </w:p>
    <w:p w:rsidR="009B4BC7" w:rsidRDefault="009B4BC7" w:rsidP="00EC769E">
      <w:pPr>
        <w:pStyle w:val="ListParagraph"/>
        <w:numPr>
          <w:ilvl w:val="0"/>
          <w:numId w:val="5"/>
        </w:numPr>
      </w:pPr>
      <w:r>
        <w:t>Feedback from members of the Association of</w:t>
      </w:r>
      <w:r w:rsidR="00FA2C1A">
        <w:t xml:space="preserve"> </w:t>
      </w:r>
      <w:r>
        <w:t>Programs for Independent Living (APRIL) and</w:t>
      </w:r>
      <w:r w:rsidR="00FA2C1A">
        <w:t xml:space="preserve"> </w:t>
      </w:r>
      <w:r>
        <w:t>Centers for Independent Living</w:t>
      </w:r>
    </w:p>
    <w:p w:rsidR="009B4BC7" w:rsidRDefault="009B4BC7" w:rsidP="00EC769E">
      <w:pPr>
        <w:pStyle w:val="ListParagraph"/>
        <w:numPr>
          <w:ilvl w:val="0"/>
          <w:numId w:val="5"/>
        </w:numPr>
      </w:pPr>
      <w:r>
        <w:t>The Alberta Urban Municipalities Association.</w:t>
      </w:r>
      <w:r w:rsidR="00FA2C1A">
        <w:t xml:space="preserve"> </w:t>
      </w:r>
      <w:r>
        <w:t>(2017). Measuring inclusion tool. Edmonton,</w:t>
      </w:r>
      <w:r w:rsidR="00FA2C1A">
        <w:t xml:space="preserve"> </w:t>
      </w:r>
      <w:r>
        <w:t>AB: Alberta Urban Municipalities Association.</w:t>
      </w:r>
    </w:p>
    <w:p w:rsidR="009B4BC7" w:rsidRDefault="009B4BC7" w:rsidP="00EC769E">
      <w:pPr>
        <w:pStyle w:val="ListParagraph"/>
        <w:numPr>
          <w:ilvl w:val="0"/>
          <w:numId w:val="5"/>
        </w:numPr>
      </w:pPr>
      <w:r>
        <w:t xml:space="preserve">Disability Rights Wisconsin. (2004). </w:t>
      </w:r>
      <w:proofErr w:type="spellStart"/>
      <w:r>
        <w:t>Self</w:t>
      </w:r>
      <w:r w:rsidR="00FA2C1A">
        <w:t xml:space="preserve"> </w:t>
      </w:r>
      <w:r>
        <w:t>assessment</w:t>
      </w:r>
      <w:proofErr w:type="spellEnd"/>
      <w:r>
        <w:t xml:space="preserve"> tool for ensuring access for</w:t>
      </w:r>
      <w:r w:rsidR="00EC769E">
        <w:t xml:space="preserve"> </w:t>
      </w:r>
      <w:r>
        <w:t>people with disabilities. Harrisburg, PA: Safe</w:t>
      </w:r>
      <w:r w:rsidR="00EC769E">
        <w:t xml:space="preserve"> </w:t>
      </w:r>
      <w:r>
        <w:t>Housing Partnerships.</w:t>
      </w:r>
    </w:p>
    <w:p w:rsidR="009B4BC7" w:rsidRDefault="009B4BC7" w:rsidP="00EC769E">
      <w:pPr>
        <w:pStyle w:val="ListParagraph"/>
        <w:numPr>
          <w:ilvl w:val="0"/>
          <w:numId w:val="5"/>
        </w:numPr>
      </w:pPr>
      <w:r>
        <w:t>Social Inclusion Week of Australia. (2017).</w:t>
      </w:r>
      <w:r w:rsidR="00EC769E">
        <w:t xml:space="preserve"> </w:t>
      </w:r>
      <w:r>
        <w:t>Event accessibility checklist. Social Inclusion</w:t>
      </w:r>
      <w:r w:rsidR="00EC769E">
        <w:t xml:space="preserve"> </w:t>
      </w:r>
      <w:r>
        <w:t>Week of Australia.</w:t>
      </w:r>
    </w:p>
    <w:p w:rsidR="009B4BC7" w:rsidRDefault="009B4BC7" w:rsidP="00EC769E">
      <w:pPr>
        <w:pStyle w:val="ListParagraph"/>
        <w:numPr>
          <w:ilvl w:val="0"/>
          <w:numId w:val="5"/>
        </w:numPr>
      </w:pPr>
      <w:r>
        <w:t xml:space="preserve">Event accessibility </w:t>
      </w:r>
      <w:proofErr w:type="spellStart"/>
      <w:r>
        <w:t>checklist_Social</w:t>
      </w:r>
      <w:proofErr w:type="spellEnd"/>
      <w:r>
        <w:t xml:space="preserve"> Inclusion</w:t>
      </w:r>
      <w:r w:rsidR="00EC769E">
        <w:t xml:space="preserve"> </w:t>
      </w:r>
      <w:r>
        <w:t>Week Australia Commission on Disability</w:t>
      </w:r>
      <w:r w:rsidR="00EC769E">
        <w:t xml:space="preserve"> </w:t>
      </w:r>
      <w:r>
        <w:t>Rights. (n.d.). Planning accessible meetings</w:t>
      </w:r>
      <w:r w:rsidR="00EC769E">
        <w:t xml:space="preserve"> </w:t>
      </w:r>
      <w:r>
        <w:t>and events: A toolkit.</w:t>
      </w:r>
    </w:p>
    <w:p w:rsidR="009F3545" w:rsidRDefault="009B4BC7" w:rsidP="009B4BC7">
      <w:r>
        <w:t>This project was supported by the National Institute on Disability, Independent Living, and Rehabilitation Research (NIDILRR), grant</w:t>
      </w:r>
      <w:r w:rsidR="00EC769E">
        <w:t xml:space="preserve"> </w:t>
      </w:r>
      <w:r>
        <w:t>number 90RT5025. NIDILRR is a Center within the Administration for Community Living (ACL), Department of Health and Human</w:t>
      </w:r>
      <w:r w:rsidR="00EC769E">
        <w:t xml:space="preserve"> </w:t>
      </w:r>
      <w:r>
        <w:t>Services (HHS). The contents do not necessarily represent the policy of NIDILRR, ACL, HHS, and you should not assume endorsement</w:t>
      </w:r>
      <w:r w:rsidR="00EC769E">
        <w:t xml:space="preserve"> </w:t>
      </w:r>
      <w:r>
        <w:t>by the Federal Government. The opinions reflect those of the authors and are not necessarily those of the funding agency.</w:t>
      </w:r>
    </w:p>
    <w:sectPr w:rsidR="009F35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1B" w:rsidRDefault="00627E1B" w:rsidP="00627E1B">
      <w:pPr>
        <w:spacing w:after="0" w:line="240" w:lineRule="auto"/>
      </w:pPr>
      <w:r>
        <w:separator/>
      </w:r>
    </w:p>
  </w:endnote>
  <w:endnote w:type="continuationSeparator" w:id="0">
    <w:p w:rsidR="00627E1B" w:rsidRDefault="00627E1B" w:rsidP="0062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74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E1B" w:rsidRDefault="00627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E1B" w:rsidRDefault="00627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1B" w:rsidRDefault="00627E1B" w:rsidP="00627E1B">
      <w:pPr>
        <w:spacing w:after="0" w:line="240" w:lineRule="auto"/>
      </w:pPr>
      <w:r>
        <w:separator/>
      </w:r>
    </w:p>
  </w:footnote>
  <w:footnote w:type="continuationSeparator" w:id="0">
    <w:p w:rsidR="00627E1B" w:rsidRDefault="00627E1B" w:rsidP="0062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A93"/>
    <w:multiLevelType w:val="hybridMultilevel"/>
    <w:tmpl w:val="6BF27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2FA9"/>
    <w:multiLevelType w:val="hybridMultilevel"/>
    <w:tmpl w:val="295E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6077"/>
    <w:multiLevelType w:val="hybridMultilevel"/>
    <w:tmpl w:val="0D6AD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B2668"/>
    <w:multiLevelType w:val="hybridMultilevel"/>
    <w:tmpl w:val="378AF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31968"/>
    <w:multiLevelType w:val="hybridMultilevel"/>
    <w:tmpl w:val="E44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C7"/>
    <w:rsid w:val="00580AC6"/>
    <w:rsid w:val="00627E1B"/>
    <w:rsid w:val="008E51C0"/>
    <w:rsid w:val="00924200"/>
    <w:rsid w:val="009709CE"/>
    <w:rsid w:val="009B4BC7"/>
    <w:rsid w:val="009F3545"/>
    <w:rsid w:val="00D10503"/>
    <w:rsid w:val="00EC769E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5FDA"/>
  <w15:chartTrackingRefBased/>
  <w15:docId w15:val="{F32CA16B-2187-44AB-B562-9C47EAEF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200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200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200"/>
    <w:rPr>
      <w:rFonts w:ascii="Franklin Gothic Demi" w:eastAsiaTheme="majorEastAsia" w:hAnsi="Franklin Gothic Dem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200"/>
    <w:rPr>
      <w:rFonts w:ascii="Franklin Gothic Medium" w:eastAsiaTheme="majorEastAsia" w:hAnsi="Franklin Gothic Medium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E1B"/>
  </w:style>
  <w:style w:type="paragraph" w:styleId="Footer">
    <w:name w:val="footer"/>
    <w:basedOn w:val="Normal"/>
    <w:link w:val="FooterChar"/>
    <w:uiPriority w:val="99"/>
    <w:unhideWhenUsed/>
    <w:rsid w:val="0062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E1B"/>
  </w:style>
  <w:style w:type="paragraph" w:styleId="ListParagraph">
    <w:name w:val="List Paragraph"/>
    <w:basedOn w:val="Normal"/>
    <w:uiPriority w:val="34"/>
    <w:qFormat/>
    <w:rsid w:val="00627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tc.ruralinstitute.umt.edu/community-assessment-for-accessible-rural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Lauren</dc:creator>
  <cp:keywords/>
  <dc:description/>
  <cp:lastModifiedBy>Smith, Lauren</cp:lastModifiedBy>
  <cp:revision>7</cp:revision>
  <dcterms:created xsi:type="dcterms:W3CDTF">2020-01-28T00:11:00Z</dcterms:created>
  <dcterms:modified xsi:type="dcterms:W3CDTF">2020-01-28T16:45:00Z</dcterms:modified>
</cp:coreProperties>
</file>