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EF" w:rsidRDefault="000A00EF" w:rsidP="000A00EF">
      <w:pPr>
        <w:pStyle w:val="Heading1"/>
      </w:pPr>
      <w:r>
        <w:t>Community Assessment for Accessible Rural Events</w:t>
      </w:r>
    </w:p>
    <w:p w:rsidR="000A00EF" w:rsidRDefault="000A00EF" w:rsidP="000A00EF">
      <w:pPr>
        <w:pStyle w:val="Heading1"/>
      </w:pPr>
      <w:r>
        <w:t>Attendee Survey</w:t>
      </w:r>
    </w:p>
    <w:p w:rsidR="000A00EF" w:rsidRDefault="000A00EF" w:rsidP="000A00EF">
      <w:r>
        <w:t>Please take a few minutes to fill out this survey about your experience at this event. Make sure to fill out both sides. There is space on the back to share additional comments.</w:t>
      </w:r>
    </w:p>
    <w:p w:rsidR="000A00EF" w:rsidRDefault="000A00EF" w:rsidP="000A00EF">
      <w:r>
        <w:t>Return your completed survey to event staff or volunteers, or drop it back where you picked it up. Thank you for your feedback! We will use this information to make our future events more accessible for everyone.</w:t>
      </w:r>
    </w:p>
    <w:p w:rsidR="000A00EF" w:rsidRDefault="000A00EF" w:rsidP="000A00EF"/>
    <w:p w:rsidR="000A00EF" w:rsidRDefault="000A00EF" w:rsidP="000A00EF">
      <w:pPr>
        <w:pStyle w:val="Heading2"/>
      </w:pPr>
      <w:r>
        <w:t>How much do you agree with the following statements?</w:t>
      </w:r>
    </w:p>
    <w:p w:rsidR="000A00EF" w:rsidRPr="000A00EF" w:rsidRDefault="000A00EF" w:rsidP="000A00EF">
      <w:pPr>
        <w:pStyle w:val="Heading3"/>
      </w:pPr>
      <w:r>
        <w:t>Parking, Entrances, Pathways</w:t>
      </w:r>
    </w:p>
    <w:p w:rsidR="000A00EF" w:rsidRDefault="000A00EF" w:rsidP="000A00EF">
      <w:pPr>
        <w:pStyle w:val="ListParagraph"/>
        <w:numPr>
          <w:ilvl w:val="0"/>
          <w:numId w:val="2"/>
        </w:numPr>
      </w:pPr>
      <w:r>
        <w:t>There was enough accessible parking, and it was clearly marked.</w:t>
      </w:r>
    </w:p>
    <w:p w:rsidR="002749D1" w:rsidRDefault="002749D1" w:rsidP="002749D1">
      <w:pPr>
        <w:pStyle w:val="ListParagraph"/>
        <w:numPr>
          <w:ilvl w:val="1"/>
          <w:numId w:val="2"/>
        </w:numPr>
      </w:pPr>
      <w:bookmarkStart w:id="0" w:name="_Hlk31035213"/>
      <w:r>
        <w:t>Not at all</w:t>
      </w:r>
      <w:r w:rsidR="00053895">
        <w:t xml:space="preserve"> (1)</w:t>
      </w:r>
    </w:p>
    <w:p w:rsidR="002749D1" w:rsidRDefault="002749D1" w:rsidP="002749D1">
      <w:pPr>
        <w:pStyle w:val="ListParagraph"/>
        <w:numPr>
          <w:ilvl w:val="1"/>
          <w:numId w:val="2"/>
        </w:numPr>
      </w:pPr>
      <w:r>
        <w:t>Somewhat</w:t>
      </w:r>
      <w:r w:rsidR="00053895">
        <w:t xml:space="preserve"> (2)</w:t>
      </w:r>
    </w:p>
    <w:p w:rsidR="002749D1" w:rsidRDefault="002749D1" w:rsidP="002749D1">
      <w:pPr>
        <w:pStyle w:val="ListParagraph"/>
        <w:numPr>
          <w:ilvl w:val="1"/>
          <w:numId w:val="2"/>
        </w:numPr>
      </w:pPr>
      <w:r>
        <w:t>Unsure</w:t>
      </w:r>
      <w:r w:rsidR="00053895">
        <w:t xml:space="preserve"> (3)</w:t>
      </w:r>
    </w:p>
    <w:p w:rsidR="002749D1" w:rsidRDefault="002749D1" w:rsidP="002749D1">
      <w:pPr>
        <w:pStyle w:val="ListParagraph"/>
        <w:numPr>
          <w:ilvl w:val="1"/>
          <w:numId w:val="2"/>
        </w:numPr>
      </w:pPr>
      <w:r>
        <w:t>Mostly</w:t>
      </w:r>
      <w:r w:rsidR="00053895">
        <w:t xml:space="preserve"> (4)</w:t>
      </w:r>
    </w:p>
    <w:p w:rsidR="002749D1" w:rsidRDefault="002749D1" w:rsidP="002749D1">
      <w:pPr>
        <w:pStyle w:val="ListParagraph"/>
        <w:numPr>
          <w:ilvl w:val="1"/>
          <w:numId w:val="2"/>
        </w:numPr>
      </w:pPr>
      <w:r>
        <w:t>Completely</w:t>
      </w:r>
      <w:r w:rsidR="00053895">
        <w:t xml:space="preserve"> (5)</w:t>
      </w:r>
    </w:p>
    <w:p w:rsidR="002749D1" w:rsidRDefault="002749D1" w:rsidP="002749D1">
      <w:pPr>
        <w:pStyle w:val="ListParagraph"/>
        <w:numPr>
          <w:ilvl w:val="1"/>
          <w:numId w:val="2"/>
        </w:numPr>
      </w:pPr>
      <w:r>
        <w:t xml:space="preserve">Does not apply </w:t>
      </w:r>
      <w:r w:rsidR="00053895">
        <w:t>(.)</w:t>
      </w:r>
    </w:p>
    <w:bookmarkEnd w:id="0"/>
    <w:p w:rsidR="000A00EF" w:rsidRDefault="000A00EF" w:rsidP="000A00EF">
      <w:pPr>
        <w:pStyle w:val="ListParagraph"/>
        <w:numPr>
          <w:ilvl w:val="0"/>
          <w:numId w:val="2"/>
        </w:numPr>
      </w:pPr>
      <w:r>
        <w:t>Accessible entrances were clearly marked.</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were flat and unblocked pathways to all activities and services.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were ramps at all steps and over uneven surfaces (for example, if there</w:t>
      </w:r>
      <w:r>
        <w:t xml:space="preserve"> </w:t>
      </w:r>
      <w:r>
        <w:t>are no curb cuts).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Challenging surfaces, such as sand, loose dirt, grass, and gravel, have an accessible pathway on top of them.</w:t>
      </w:r>
    </w:p>
    <w:p w:rsidR="00053895" w:rsidRDefault="00053895" w:rsidP="00053895">
      <w:pPr>
        <w:pStyle w:val="ListParagraph"/>
        <w:numPr>
          <w:ilvl w:val="1"/>
          <w:numId w:val="2"/>
        </w:numPr>
      </w:pPr>
      <w:r>
        <w:lastRenderedPageBreak/>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Doorways and entrances were unblocked and wide enough for wheelchairs</w:t>
      </w:r>
      <w:r>
        <w:t xml:space="preserve"> </w:t>
      </w:r>
      <w:r>
        <w:t>and power chairs.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were handrails on each side of all stairs.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Door handles were levers or u-shaped.</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Heading3"/>
      </w:pPr>
      <w:r>
        <w:t>Bathrooms</w:t>
      </w:r>
    </w:p>
    <w:p w:rsidR="000A00EF" w:rsidRDefault="000A00EF" w:rsidP="000A00EF">
      <w:pPr>
        <w:pStyle w:val="ListParagraph"/>
        <w:numPr>
          <w:ilvl w:val="0"/>
          <w:numId w:val="2"/>
        </w:numPr>
      </w:pPr>
      <w:r>
        <w:t>There were enough clearly marked accessible bathrooms.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were accessible toileting and feeding/watering areas for service animals.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Heading3"/>
      </w:pPr>
      <w:r>
        <w:lastRenderedPageBreak/>
        <w:t>Information</w:t>
      </w:r>
    </w:p>
    <w:p w:rsidR="000A00EF" w:rsidRDefault="000A00EF" w:rsidP="000A00EF">
      <w:pPr>
        <w:pStyle w:val="ListParagraph"/>
        <w:numPr>
          <w:ilvl w:val="0"/>
          <w:numId w:val="2"/>
        </w:numPr>
      </w:pPr>
      <w:r>
        <w:t>There was a clearly marked booth or station with information about accommodations and accessibility questions.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were clearly identified roving event staff to help with accessibility issues during the event.</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Heading3"/>
      </w:pPr>
      <w:r>
        <w:t>Event Space</w:t>
      </w:r>
    </w:p>
    <w:p w:rsidR="000A00EF" w:rsidRDefault="000A00EF" w:rsidP="000A00EF">
      <w:pPr>
        <w:pStyle w:val="ListParagraph"/>
        <w:numPr>
          <w:ilvl w:val="0"/>
          <w:numId w:val="2"/>
        </w:numPr>
      </w:pPr>
      <w:r>
        <w:t>There was accessible seating set up in a way that was inclusive.</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was enough front row seating reserved for people with vision and hearing impairments.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Tables were at a usable height and had enough space for people in wheelchairs and power chairs.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were accessible shaded or cool areas with comfortable seating for resting.</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lastRenderedPageBreak/>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Sound and lighting were adjustable.</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There was a designated area for people experiencing sensory overload to</w:t>
      </w:r>
      <w:r>
        <w:t xml:space="preserve"> </w:t>
      </w:r>
      <w:r>
        <w:t>rest, away from noise, lights, and other commotion. Area was fragrance-free.</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Heading3"/>
      </w:pPr>
      <w:r>
        <w:t>Event Programming</w:t>
      </w:r>
    </w:p>
    <w:p w:rsidR="000A00EF" w:rsidRDefault="000A00EF" w:rsidP="000A00EF">
      <w:pPr>
        <w:pStyle w:val="ListParagraph"/>
        <w:numPr>
          <w:ilvl w:val="0"/>
          <w:numId w:val="2"/>
        </w:numPr>
      </w:pPr>
      <w:r>
        <w:t>Written materials (like flyers and signs) used high contrast and large print.</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Event programs had captioning and/or sign language interpreters.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Speakers used microphones, including audience during Q&amp;A sessions.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Assistive technology (such as headsets or ear protection) easily available.</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lastRenderedPageBreak/>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Any events with sound effects, flashing lights or strobes, smoke machines, etc. were clearly marked.</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People with food sensitivities and allergies had clearly labeled alternative options.</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53895" w:rsidRDefault="00053895" w:rsidP="00053895">
      <w:pPr>
        <w:pStyle w:val="ListParagraph"/>
        <w:numPr>
          <w:ilvl w:val="1"/>
          <w:numId w:val="2"/>
        </w:numPr>
      </w:pPr>
      <w:r>
        <w:t>Does not apply (.)</w:t>
      </w:r>
    </w:p>
    <w:p w:rsidR="000A00EF" w:rsidRDefault="000A00EF" w:rsidP="000A00EF">
      <w:pPr>
        <w:pStyle w:val="ListParagraph"/>
        <w:numPr>
          <w:ilvl w:val="0"/>
          <w:numId w:val="2"/>
        </w:numPr>
      </w:pPr>
      <w:r>
        <w:t>Overall, did you think the event was accessible?</w:t>
      </w:r>
    </w:p>
    <w:p w:rsidR="00053895" w:rsidRDefault="00053895" w:rsidP="00053895">
      <w:pPr>
        <w:pStyle w:val="ListParagraph"/>
        <w:numPr>
          <w:ilvl w:val="1"/>
          <w:numId w:val="2"/>
        </w:numPr>
      </w:pPr>
      <w:r>
        <w:t>Not at all (1)</w:t>
      </w:r>
    </w:p>
    <w:p w:rsidR="00053895" w:rsidRDefault="00053895" w:rsidP="00053895">
      <w:pPr>
        <w:pStyle w:val="ListParagraph"/>
        <w:numPr>
          <w:ilvl w:val="1"/>
          <w:numId w:val="2"/>
        </w:numPr>
      </w:pPr>
      <w:r>
        <w:t>Somewhat (2)</w:t>
      </w:r>
    </w:p>
    <w:p w:rsidR="00053895" w:rsidRDefault="00053895" w:rsidP="00053895">
      <w:pPr>
        <w:pStyle w:val="ListParagraph"/>
        <w:numPr>
          <w:ilvl w:val="1"/>
          <w:numId w:val="2"/>
        </w:numPr>
      </w:pPr>
      <w:r>
        <w:t>Unsure (3)</w:t>
      </w:r>
    </w:p>
    <w:p w:rsidR="00053895" w:rsidRDefault="00053895" w:rsidP="00053895">
      <w:pPr>
        <w:pStyle w:val="ListParagraph"/>
        <w:numPr>
          <w:ilvl w:val="1"/>
          <w:numId w:val="2"/>
        </w:numPr>
      </w:pPr>
      <w:r>
        <w:t>Mostly (4)</w:t>
      </w:r>
    </w:p>
    <w:p w:rsidR="00053895" w:rsidRDefault="00053895" w:rsidP="00053895">
      <w:pPr>
        <w:pStyle w:val="ListParagraph"/>
        <w:numPr>
          <w:ilvl w:val="1"/>
          <w:numId w:val="2"/>
        </w:numPr>
      </w:pPr>
      <w:r>
        <w:t>Completely (5)</w:t>
      </w:r>
    </w:p>
    <w:p w:rsidR="000A00EF" w:rsidRDefault="00053895" w:rsidP="000A00EF">
      <w:pPr>
        <w:pStyle w:val="ListParagraph"/>
        <w:numPr>
          <w:ilvl w:val="1"/>
          <w:numId w:val="2"/>
        </w:numPr>
      </w:pPr>
      <w:r>
        <w:t>Does not apply (.)</w:t>
      </w:r>
    </w:p>
    <w:p w:rsidR="000A00EF" w:rsidRDefault="000A00EF" w:rsidP="000A00EF">
      <w:r>
        <w:t>Please share any other comments or concerns about the accessibility of this event below:</w:t>
      </w:r>
    </w:p>
    <w:p w:rsidR="000A00EF" w:rsidRDefault="000A00EF" w:rsidP="000A00EF"/>
    <w:p w:rsidR="000A00EF" w:rsidRDefault="000A00EF" w:rsidP="000A00EF"/>
    <w:p w:rsidR="000A00EF" w:rsidRDefault="000A00EF" w:rsidP="000A00EF"/>
    <w:p w:rsidR="000A00EF" w:rsidRDefault="000A00EF" w:rsidP="000A00EF"/>
    <w:p w:rsidR="000A00EF" w:rsidRDefault="000A00EF" w:rsidP="000A00EF"/>
    <w:p w:rsidR="000A00EF" w:rsidRDefault="000A00EF" w:rsidP="000A00EF"/>
    <w:p w:rsidR="000A00EF" w:rsidRDefault="000A00EF" w:rsidP="00053895">
      <w:pPr>
        <w:pStyle w:val="Heading2"/>
      </w:pPr>
      <w:bookmarkStart w:id="1" w:name="_GoBack"/>
      <w:bookmarkEnd w:id="1"/>
    </w:p>
    <w:p w:rsidR="000A00EF" w:rsidRPr="00053895" w:rsidRDefault="000A00EF" w:rsidP="000A00EF">
      <w:pPr>
        <w:rPr>
          <w:b/>
        </w:rPr>
      </w:pPr>
      <w:r w:rsidRPr="00053895">
        <w:rPr>
          <w:b/>
        </w:rPr>
        <w:t>Survey #:</w:t>
      </w:r>
    </w:p>
    <w:p w:rsidR="009F3545" w:rsidRDefault="000A00EF" w:rsidP="000A00EF">
      <w:r>
        <w:t xml:space="preserve">This project was developed by </w:t>
      </w:r>
      <w:proofErr w:type="spellStart"/>
      <w:proofErr w:type="gramStart"/>
      <w:r>
        <w:t>RTC:Rural</w:t>
      </w:r>
      <w:proofErr w:type="spellEnd"/>
      <w:proofErr w:type="gramEnd"/>
      <w:r>
        <w:t xml:space="preserve"> and supported by the National Institute on Disability,</w:t>
      </w:r>
      <w:r>
        <w:t xml:space="preserve"> </w:t>
      </w:r>
      <w:r>
        <w:t>Independent Living, and Rehabilitation Research (NIDILRR), grant numbers 90RT5025 and 90RTCP0002. NIDILRR is a Center within the Administration for Community Living (ACL), Department of Health and Human Services (HHS). The contents do not necessarily represent the policy of NIDILRR, ACL, HHS, and you should not assume endorsement by the Federal Government. The opinions reflect those of the</w:t>
      </w:r>
      <w:r>
        <w:t xml:space="preserve"> </w:t>
      </w:r>
      <w:r>
        <w:t>authors and are not necessarily those of the funding agency.</w:t>
      </w:r>
    </w:p>
    <w:sectPr w:rsidR="009F35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0EF" w:rsidRDefault="000A00EF" w:rsidP="000A00EF">
      <w:pPr>
        <w:spacing w:after="0" w:line="240" w:lineRule="auto"/>
      </w:pPr>
      <w:r>
        <w:separator/>
      </w:r>
    </w:p>
  </w:endnote>
  <w:endnote w:type="continuationSeparator" w:id="0">
    <w:p w:rsidR="000A00EF" w:rsidRDefault="000A00EF" w:rsidP="000A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721185"/>
      <w:docPartObj>
        <w:docPartGallery w:val="Page Numbers (Bottom of Page)"/>
        <w:docPartUnique/>
      </w:docPartObj>
    </w:sdtPr>
    <w:sdtEndPr>
      <w:rPr>
        <w:noProof/>
      </w:rPr>
    </w:sdtEndPr>
    <w:sdtContent>
      <w:p w:rsidR="000A00EF" w:rsidRDefault="000A00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00EF" w:rsidRDefault="000A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0EF" w:rsidRDefault="000A00EF" w:rsidP="000A00EF">
      <w:pPr>
        <w:spacing w:after="0" w:line="240" w:lineRule="auto"/>
      </w:pPr>
      <w:r>
        <w:separator/>
      </w:r>
    </w:p>
  </w:footnote>
  <w:footnote w:type="continuationSeparator" w:id="0">
    <w:p w:rsidR="000A00EF" w:rsidRDefault="000A00EF" w:rsidP="000A0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A31"/>
    <w:multiLevelType w:val="hybridMultilevel"/>
    <w:tmpl w:val="0D12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7F42"/>
    <w:multiLevelType w:val="hybridMultilevel"/>
    <w:tmpl w:val="57CE0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31F5"/>
    <w:multiLevelType w:val="hybridMultilevel"/>
    <w:tmpl w:val="A690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90F29"/>
    <w:multiLevelType w:val="hybridMultilevel"/>
    <w:tmpl w:val="96B4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1430D"/>
    <w:multiLevelType w:val="hybridMultilevel"/>
    <w:tmpl w:val="1FA0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A0793"/>
    <w:multiLevelType w:val="hybridMultilevel"/>
    <w:tmpl w:val="7B68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EF"/>
    <w:rsid w:val="00053895"/>
    <w:rsid w:val="000A00EF"/>
    <w:rsid w:val="002749D1"/>
    <w:rsid w:val="009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DA2C"/>
  <w15:chartTrackingRefBased/>
  <w15:docId w15:val="{AFB776F7-AED9-4901-A26D-D61A28BF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895"/>
    <w:pPr>
      <w:keepNext/>
      <w:keepLines/>
      <w:spacing w:before="240" w:after="0"/>
      <w:outlineLvl w:val="0"/>
    </w:pPr>
    <w:rPr>
      <w:rFonts w:ascii="Franklin Gothic Demi" w:eastAsiaTheme="majorEastAsia" w:hAnsi="Franklin Gothic Demi" w:cstheme="majorBidi"/>
      <w:sz w:val="32"/>
      <w:szCs w:val="32"/>
    </w:rPr>
  </w:style>
  <w:style w:type="paragraph" w:styleId="Heading2">
    <w:name w:val="heading 2"/>
    <w:basedOn w:val="Normal"/>
    <w:next w:val="Normal"/>
    <w:link w:val="Heading2Char"/>
    <w:uiPriority w:val="9"/>
    <w:unhideWhenUsed/>
    <w:qFormat/>
    <w:rsid w:val="00053895"/>
    <w:pPr>
      <w:keepNext/>
      <w:keepLines/>
      <w:spacing w:before="40" w:after="0"/>
      <w:outlineLvl w:val="1"/>
    </w:pPr>
    <w:rPr>
      <w:rFonts w:ascii="Franklin Gothic Demi" w:eastAsiaTheme="majorEastAsia" w:hAnsi="Franklin Gothic Demi" w:cstheme="majorBidi"/>
      <w:sz w:val="26"/>
      <w:szCs w:val="26"/>
    </w:rPr>
  </w:style>
  <w:style w:type="paragraph" w:styleId="Heading3">
    <w:name w:val="heading 3"/>
    <w:basedOn w:val="Normal"/>
    <w:next w:val="Normal"/>
    <w:link w:val="Heading3Char"/>
    <w:uiPriority w:val="9"/>
    <w:unhideWhenUsed/>
    <w:qFormat/>
    <w:rsid w:val="00053895"/>
    <w:pPr>
      <w:keepNext/>
      <w:keepLines/>
      <w:spacing w:before="40" w:after="0"/>
      <w:outlineLvl w:val="2"/>
    </w:pPr>
    <w:rPr>
      <w:rFonts w:ascii="Franklin Gothic Medium" w:eastAsiaTheme="majorEastAsia" w:hAnsi="Franklin Gothic Medium"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95"/>
    <w:rPr>
      <w:rFonts w:ascii="Franklin Gothic Demi" w:eastAsiaTheme="majorEastAsia" w:hAnsi="Franklin Gothic Demi" w:cstheme="majorBidi"/>
      <w:sz w:val="32"/>
      <w:szCs w:val="32"/>
    </w:rPr>
  </w:style>
  <w:style w:type="character" w:customStyle="1" w:styleId="Heading2Char">
    <w:name w:val="Heading 2 Char"/>
    <w:basedOn w:val="DefaultParagraphFont"/>
    <w:link w:val="Heading2"/>
    <w:uiPriority w:val="9"/>
    <w:rsid w:val="00053895"/>
    <w:rPr>
      <w:rFonts w:ascii="Franklin Gothic Demi" w:eastAsiaTheme="majorEastAsia" w:hAnsi="Franklin Gothic Demi" w:cstheme="majorBidi"/>
      <w:sz w:val="26"/>
      <w:szCs w:val="26"/>
    </w:rPr>
  </w:style>
  <w:style w:type="character" w:customStyle="1" w:styleId="Heading3Char">
    <w:name w:val="Heading 3 Char"/>
    <w:basedOn w:val="DefaultParagraphFont"/>
    <w:link w:val="Heading3"/>
    <w:uiPriority w:val="9"/>
    <w:rsid w:val="00053895"/>
    <w:rPr>
      <w:rFonts w:ascii="Franklin Gothic Medium" w:eastAsiaTheme="majorEastAsia" w:hAnsi="Franklin Gothic Medium" w:cstheme="majorBidi"/>
      <w:sz w:val="24"/>
      <w:szCs w:val="24"/>
    </w:rPr>
  </w:style>
  <w:style w:type="paragraph" w:styleId="Header">
    <w:name w:val="header"/>
    <w:basedOn w:val="Normal"/>
    <w:link w:val="HeaderChar"/>
    <w:uiPriority w:val="99"/>
    <w:unhideWhenUsed/>
    <w:rsid w:val="000A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0EF"/>
  </w:style>
  <w:style w:type="paragraph" w:styleId="Footer">
    <w:name w:val="footer"/>
    <w:basedOn w:val="Normal"/>
    <w:link w:val="FooterChar"/>
    <w:uiPriority w:val="99"/>
    <w:unhideWhenUsed/>
    <w:rsid w:val="000A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0EF"/>
  </w:style>
  <w:style w:type="paragraph" w:styleId="ListParagraph">
    <w:name w:val="List Paragraph"/>
    <w:basedOn w:val="Normal"/>
    <w:uiPriority w:val="34"/>
    <w:qFormat/>
    <w:rsid w:val="000A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dc:creator>
  <cp:keywords/>
  <dc:description/>
  <cp:lastModifiedBy>Smith, Lauren</cp:lastModifiedBy>
  <cp:revision>2</cp:revision>
  <dcterms:created xsi:type="dcterms:W3CDTF">2020-01-27T23:22:00Z</dcterms:created>
  <dcterms:modified xsi:type="dcterms:W3CDTF">2020-01-27T23:37:00Z</dcterms:modified>
</cp:coreProperties>
</file>